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E86E" w14:textId="77777777" w:rsidR="00A23A7C" w:rsidRDefault="00A23A7C">
      <w:pPr>
        <w:jc w:val="center"/>
        <w:rPr>
          <w:b/>
        </w:rPr>
      </w:pPr>
      <w:r>
        <w:rPr>
          <w:b/>
        </w:rPr>
        <w:t>CONFIDENTIALITY AND NON-DISCLOSURE AGREEMENT</w:t>
      </w:r>
    </w:p>
    <w:p w14:paraId="01958A19" w14:textId="77777777" w:rsidR="00A23A7C" w:rsidRDefault="00A23A7C"/>
    <w:p w14:paraId="60DF9528" w14:textId="73A8C4F6" w:rsidR="00A23A7C" w:rsidRDefault="00A23A7C">
      <w:pPr>
        <w:tabs>
          <w:tab w:val="left" w:pos="720"/>
        </w:tabs>
      </w:pPr>
      <w:r>
        <w:tab/>
        <w:t>This Confidentiality and Non-Disclosure Agreement (this “</w:t>
      </w:r>
      <w:r w:rsidRPr="00E811AF">
        <w:rPr>
          <w:b/>
          <w:i/>
          <w:u w:val="single"/>
        </w:rPr>
        <w:t>Agreemen</w:t>
      </w:r>
      <w:r>
        <w:rPr>
          <w:b/>
        </w:rPr>
        <w:t>t</w:t>
      </w:r>
      <w:r>
        <w:t xml:space="preserve">”) between </w:t>
      </w:r>
      <w:proofErr w:type="spellStart"/>
      <w:r w:rsidR="00E30F12">
        <w:t>YellowStone</w:t>
      </w:r>
      <w:proofErr w:type="spellEnd"/>
      <w:r w:rsidR="00E30F12">
        <w:t xml:space="preserve"> </w:t>
      </w:r>
      <w:r w:rsidR="00D80BD3">
        <w:t>Cattle</w:t>
      </w:r>
      <w:r w:rsidR="00E30F12">
        <w:t xml:space="preserve"> I</w:t>
      </w:r>
      <w:r w:rsidR="006D3140">
        <w:t>, LLC</w:t>
      </w:r>
      <w:r>
        <w:t xml:space="preserve"> (“</w:t>
      </w:r>
      <w:r w:rsidR="005E3248">
        <w:rPr>
          <w:b/>
          <w:i/>
          <w:u w:val="single"/>
        </w:rPr>
        <w:t>Pip</w:t>
      </w:r>
      <w:r w:rsidR="00256CAF" w:rsidRPr="00256CAF">
        <w:rPr>
          <w:b/>
          <w:i/>
          <w:u w:val="single"/>
        </w:rPr>
        <w:t>eston</w:t>
      </w:r>
      <w:r w:rsidR="006D3140">
        <w:rPr>
          <w:b/>
          <w:i/>
          <w:u w:val="single"/>
        </w:rPr>
        <w:t>e</w:t>
      </w:r>
      <w:r w:rsidR="000C60C3">
        <w:t>”)</w:t>
      </w:r>
      <w:r w:rsidR="00DB4024">
        <w:t xml:space="preserve"> and </w:t>
      </w:r>
      <w:r w:rsidR="005E3248">
        <w:t>_______________________________________</w:t>
      </w:r>
      <w:r w:rsidR="00704A88">
        <w:t xml:space="preserve"> </w:t>
      </w:r>
      <w:r w:rsidR="0030610E">
        <w:t>(</w:t>
      </w:r>
      <w:r w:rsidR="00AB6F33">
        <w:t xml:space="preserve">the </w:t>
      </w:r>
      <w:r>
        <w:t>“</w:t>
      </w:r>
      <w:r w:rsidR="00DA6DC8">
        <w:rPr>
          <w:b/>
          <w:i/>
          <w:u w:val="single"/>
        </w:rPr>
        <w:t>Company</w:t>
      </w:r>
      <w:r>
        <w:t xml:space="preserve">”), </w:t>
      </w:r>
      <w:r w:rsidR="00326117">
        <w:t xml:space="preserve">is made to be </w:t>
      </w:r>
      <w:r>
        <w:t>effect</w:t>
      </w:r>
      <w:r w:rsidR="00326117">
        <w:t>ive</w:t>
      </w:r>
      <w:r>
        <w:t xml:space="preserve"> </w:t>
      </w:r>
      <w:r w:rsidR="002B0AD5">
        <w:t>on</w:t>
      </w:r>
      <w:r w:rsidR="005E3248">
        <w:t xml:space="preserve"> _____________</w:t>
      </w:r>
      <w:r w:rsidR="00DA6DC8">
        <w:t>______</w:t>
      </w:r>
      <w:r w:rsidR="005E3248">
        <w:t>___</w:t>
      </w:r>
      <w:r w:rsidR="00AB6F33">
        <w:t>, 20</w:t>
      </w:r>
      <w:r w:rsidR="00D03BE9">
        <w:t>2</w:t>
      </w:r>
      <w:r w:rsidR="00DA6DC8">
        <w:t>2</w:t>
      </w:r>
      <w:r w:rsidR="006D3140">
        <w:t>.</w:t>
      </w:r>
    </w:p>
    <w:p w14:paraId="7C6A0296" w14:textId="77777777" w:rsidR="00A23A7C" w:rsidRDefault="00A23A7C">
      <w:pPr>
        <w:tabs>
          <w:tab w:val="left" w:pos="720"/>
        </w:tabs>
      </w:pPr>
    </w:p>
    <w:p w14:paraId="09F21EBF" w14:textId="77777777" w:rsidR="00A23A7C" w:rsidRDefault="00A23A7C">
      <w:pPr>
        <w:tabs>
          <w:tab w:val="left" w:pos="720"/>
        </w:tabs>
        <w:jc w:val="center"/>
        <w:rPr>
          <w:b/>
        </w:rPr>
      </w:pPr>
      <w:r>
        <w:rPr>
          <w:b/>
        </w:rPr>
        <w:t>RECITALS</w:t>
      </w:r>
    </w:p>
    <w:p w14:paraId="28922861" w14:textId="77777777" w:rsidR="00A23A7C" w:rsidRDefault="00A23A7C">
      <w:pPr>
        <w:tabs>
          <w:tab w:val="left" w:pos="720"/>
        </w:tabs>
      </w:pPr>
    </w:p>
    <w:p w14:paraId="0A23E46A" w14:textId="1562FA65" w:rsidR="00A23A7C" w:rsidRDefault="00A23A7C">
      <w:pPr>
        <w:tabs>
          <w:tab w:val="left" w:pos="720"/>
        </w:tabs>
        <w:ind w:left="720" w:hanging="720"/>
      </w:pPr>
      <w:r>
        <w:t>A.</w:t>
      </w:r>
      <w:r>
        <w:tab/>
      </w:r>
      <w:r w:rsidR="005E3248">
        <w:t>Pipestone</w:t>
      </w:r>
      <w:r>
        <w:t xml:space="preserve"> and </w:t>
      </w:r>
      <w:r w:rsidR="00DA6DC8">
        <w:t>Company</w:t>
      </w:r>
      <w:r w:rsidR="00DB4024">
        <w:t xml:space="preserve"> </w:t>
      </w:r>
      <w:r w:rsidR="00E811AF">
        <w:t xml:space="preserve">will enter, or </w:t>
      </w:r>
      <w:r>
        <w:t>have entered</w:t>
      </w:r>
      <w:r w:rsidR="00E811AF">
        <w:t>,</w:t>
      </w:r>
      <w:r>
        <w:t xml:space="preserve"> into discussions </w:t>
      </w:r>
      <w:r w:rsidR="00326117">
        <w:t>(“</w:t>
      </w:r>
      <w:r w:rsidR="00326117" w:rsidRPr="00E811AF">
        <w:rPr>
          <w:b/>
          <w:i/>
          <w:u w:val="single"/>
        </w:rPr>
        <w:t>Discussions</w:t>
      </w:r>
      <w:r w:rsidR="00326117">
        <w:t xml:space="preserve">”) </w:t>
      </w:r>
      <w:r>
        <w:t xml:space="preserve">for the purpose of exploring and considering the possibility of </w:t>
      </w:r>
      <w:r w:rsidR="001474CE">
        <w:t xml:space="preserve">certain </w:t>
      </w:r>
      <w:r w:rsidR="003B74D1">
        <w:t>transaction</w:t>
      </w:r>
      <w:r w:rsidR="001474CE">
        <w:t>s</w:t>
      </w:r>
      <w:r w:rsidR="003B74D1">
        <w:t xml:space="preserve"> </w:t>
      </w:r>
      <w:r w:rsidR="001474CE">
        <w:t xml:space="preserve">or projects </w:t>
      </w:r>
      <w:r w:rsidR="003B74D1">
        <w:t>involving</w:t>
      </w:r>
      <w:r>
        <w:t xml:space="preserve"> </w:t>
      </w:r>
      <w:r w:rsidR="00E811AF">
        <w:t>the parties</w:t>
      </w:r>
      <w:r w:rsidR="002B0AD5">
        <w:t xml:space="preserve"> related to </w:t>
      </w:r>
      <w:r w:rsidR="00264D19">
        <w:t>a potential transaction</w:t>
      </w:r>
      <w:r w:rsidR="00326117">
        <w:t xml:space="preserve"> (the “</w:t>
      </w:r>
      <w:r w:rsidR="00326117" w:rsidRPr="00E811AF">
        <w:rPr>
          <w:b/>
          <w:i/>
          <w:u w:val="single"/>
        </w:rPr>
        <w:t>Transaction</w:t>
      </w:r>
      <w:r w:rsidR="00326117">
        <w:t>”).</w:t>
      </w:r>
    </w:p>
    <w:p w14:paraId="1DFE5B73" w14:textId="77777777" w:rsidR="00A23A7C" w:rsidRDefault="00A23A7C">
      <w:pPr>
        <w:tabs>
          <w:tab w:val="left" w:pos="720"/>
        </w:tabs>
        <w:ind w:left="720" w:hanging="720"/>
      </w:pPr>
    </w:p>
    <w:p w14:paraId="4207134F" w14:textId="77777777" w:rsidR="00A23A7C" w:rsidRDefault="00A23A7C">
      <w:pPr>
        <w:tabs>
          <w:tab w:val="left" w:pos="720"/>
        </w:tabs>
        <w:ind w:left="720" w:hanging="720"/>
      </w:pPr>
      <w:r>
        <w:t>B.</w:t>
      </w:r>
      <w:r>
        <w:tab/>
        <w:t>In connection with and in furtherance of</w:t>
      </w:r>
      <w:r w:rsidR="00326117">
        <w:t xml:space="preserve"> the Discussions</w:t>
      </w:r>
      <w:r>
        <w:t xml:space="preserve">, it is anticipated </w:t>
      </w:r>
      <w:r w:rsidR="00326117">
        <w:t xml:space="preserve">each party may </w:t>
      </w:r>
      <w:r>
        <w:t xml:space="preserve">disclose </w:t>
      </w:r>
      <w:r w:rsidR="00326117">
        <w:t>(“</w:t>
      </w:r>
      <w:r w:rsidR="00326117" w:rsidRPr="00E811AF">
        <w:rPr>
          <w:b/>
          <w:i/>
          <w:u w:val="single"/>
        </w:rPr>
        <w:t>Discloser</w:t>
      </w:r>
      <w:r w:rsidR="00326117">
        <w:t xml:space="preserve">”) </w:t>
      </w:r>
      <w:r>
        <w:t xml:space="preserve">to </w:t>
      </w:r>
      <w:r w:rsidR="00326117">
        <w:t>the other party (“</w:t>
      </w:r>
      <w:r w:rsidR="00326117" w:rsidRPr="00E811AF">
        <w:rPr>
          <w:b/>
          <w:i/>
          <w:u w:val="single"/>
        </w:rPr>
        <w:t>Recipient</w:t>
      </w:r>
      <w:r w:rsidR="00326117">
        <w:t>”)</w:t>
      </w:r>
      <w:r>
        <w:t xml:space="preserve"> </w:t>
      </w:r>
      <w:r w:rsidR="002D0125">
        <w:t xml:space="preserve">or its shareholders, partners, </w:t>
      </w:r>
      <w:r w:rsidR="00E811AF">
        <w:t xml:space="preserve">members, </w:t>
      </w:r>
      <w:r w:rsidR="002D0125">
        <w:t>directors, officers, employees, professional advisors or agents (collectively “</w:t>
      </w:r>
      <w:r w:rsidR="002D0125" w:rsidRPr="00E811AF">
        <w:rPr>
          <w:b/>
          <w:i/>
          <w:u w:val="single"/>
        </w:rPr>
        <w:t>Representatives</w:t>
      </w:r>
      <w:r w:rsidR="002D0125">
        <w:t>”) certain Confidential I</w:t>
      </w:r>
      <w:r>
        <w:t xml:space="preserve">nformation </w:t>
      </w:r>
      <w:r w:rsidR="00326117">
        <w:t xml:space="preserve">(defined below) </w:t>
      </w:r>
      <w:r>
        <w:t xml:space="preserve">that </w:t>
      </w:r>
      <w:r w:rsidR="00326117">
        <w:t>Discloser</w:t>
      </w:r>
      <w:r>
        <w:t xml:space="preserve"> considers proprietary and confidential</w:t>
      </w:r>
      <w:r w:rsidR="009A4502">
        <w:t>,</w:t>
      </w:r>
      <w:r w:rsidR="00326117">
        <w:t xml:space="preserve"> </w:t>
      </w:r>
      <w:r w:rsidR="009A4502">
        <w:t>and the parties desire to protect their respective Confidential Information (defined below) both during and after the Discussions.</w:t>
      </w:r>
      <w:r>
        <w:t>.</w:t>
      </w:r>
    </w:p>
    <w:p w14:paraId="247C90F2" w14:textId="77777777" w:rsidR="00A23A7C" w:rsidRDefault="00A23A7C">
      <w:pPr>
        <w:tabs>
          <w:tab w:val="left" w:pos="720"/>
        </w:tabs>
        <w:ind w:left="720" w:hanging="720"/>
      </w:pPr>
    </w:p>
    <w:p w14:paraId="59D1662F" w14:textId="77777777" w:rsidR="00A23A7C" w:rsidRDefault="00A23A7C">
      <w:pPr>
        <w:tabs>
          <w:tab w:val="left" w:pos="720"/>
        </w:tabs>
        <w:ind w:left="720" w:hanging="720"/>
        <w:jc w:val="center"/>
        <w:rPr>
          <w:b/>
        </w:rPr>
      </w:pPr>
      <w:r>
        <w:rPr>
          <w:b/>
        </w:rPr>
        <w:t>AGREEMENT</w:t>
      </w:r>
    </w:p>
    <w:p w14:paraId="514A03D9" w14:textId="77777777" w:rsidR="00A23A7C" w:rsidRDefault="00A23A7C">
      <w:pPr>
        <w:tabs>
          <w:tab w:val="left" w:pos="720"/>
        </w:tabs>
      </w:pPr>
    </w:p>
    <w:p w14:paraId="1F826F74" w14:textId="77777777" w:rsidR="00A23A7C" w:rsidRDefault="00A23A7C">
      <w:pPr>
        <w:tabs>
          <w:tab w:val="left" w:pos="720"/>
        </w:tabs>
      </w:pPr>
      <w:r>
        <w:tab/>
        <w:t>In consideration of the mutual covenants and agreements contained in this Agreement, the parties agree as follows:</w:t>
      </w:r>
    </w:p>
    <w:p w14:paraId="69FA83E3" w14:textId="77777777" w:rsidR="00A23A7C" w:rsidRPr="00E811AF" w:rsidRDefault="00A23A7C">
      <w:pPr>
        <w:tabs>
          <w:tab w:val="left" w:pos="720"/>
        </w:tabs>
      </w:pPr>
    </w:p>
    <w:p w14:paraId="4AA297FF" w14:textId="79D1C491" w:rsidR="00A23A7C" w:rsidRDefault="00A23A7C">
      <w:pPr>
        <w:tabs>
          <w:tab w:val="left" w:pos="720"/>
        </w:tabs>
        <w:ind w:left="720" w:hanging="720"/>
      </w:pPr>
      <w:r w:rsidRPr="00E811AF">
        <w:t>1.</w:t>
      </w:r>
      <w:r w:rsidRPr="00E811AF">
        <w:tab/>
      </w:r>
      <w:r w:rsidRPr="00E811AF">
        <w:rPr>
          <w:b/>
        </w:rPr>
        <w:t>Confidential Information</w:t>
      </w:r>
      <w:r w:rsidRPr="00E811AF">
        <w:t>.  “</w:t>
      </w:r>
      <w:r w:rsidRPr="00E811AF">
        <w:rPr>
          <w:b/>
          <w:i/>
          <w:u w:val="single"/>
        </w:rPr>
        <w:t>Confidential Information</w:t>
      </w:r>
      <w:r>
        <w:t>” means any information</w:t>
      </w:r>
      <w:r w:rsidR="009A4502">
        <w:t xml:space="preserve"> or material created, developed</w:t>
      </w:r>
      <w:r>
        <w:t xml:space="preserve"> or used by </w:t>
      </w:r>
      <w:r w:rsidR="00326117">
        <w:t>Discloser</w:t>
      </w:r>
      <w:r>
        <w:t xml:space="preserve">, whether in oral, audio, visual, written or other form, concerning </w:t>
      </w:r>
      <w:r w:rsidR="00326117">
        <w:t>Discloser</w:t>
      </w:r>
      <w:r>
        <w:t xml:space="preserve"> that by its nature is </w:t>
      </w:r>
      <w:r w:rsidR="00E811AF">
        <w:t xml:space="preserve">proprietary and confidential.  Confidential Information shall include, but is not limited to, the following: </w:t>
      </w:r>
      <w:r w:rsidR="00E811AF" w:rsidRPr="00C82907">
        <w:rPr>
          <w:szCs w:val="24"/>
        </w:rPr>
        <w:t xml:space="preserve">products, plans, methods, ideas, trade secrets, compensation data, financial information, marketing strategies and information, programs and services, inventions, processes, business opportunities, projections, developments, and intellectual property, prospects, pending projects and proposals, pricing information, technical data, customer and supplier lists, customer prospect lists, product and equipment designs or enhancements and other developments and techniques, other trade secrets or confidential or proprietary information, whether patentable or copyrightable or not, and other information that is not generally known or readily ascertainable by other persons.  Written information supplied to Recipient may be marked “CONFIDENTIAL” when feasible, but the failure to so mark such information shall not be deemed a waiver by </w:t>
      </w:r>
      <w:r w:rsidR="00DA6DC8">
        <w:rPr>
          <w:szCs w:val="24"/>
        </w:rPr>
        <w:t>Company</w:t>
      </w:r>
      <w:r w:rsidR="00E811AF" w:rsidRPr="00C82907">
        <w:rPr>
          <w:szCs w:val="24"/>
        </w:rPr>
        <w:t xml:space="preserve"> of confidentiality.</w:t>
      </w:r>
    </w:p>
    <w:p w14:paraId="5AADE721" w14:textId="77777777" w:rsidR="00A23A7C" w:rsidRDefault="00A23A7C">
      <w:pPr>
        <w:tabs>
          <w:tab w:val="left" w:pos="720"/>
        </w:tabs>
      </w:pPr>
    </w:p>
    <w:p w14:paraId="5C88C07E" w14:textId="77777777" w:rsidR="00A23A7C" w:rsidRDefault="00A23A7C">
      <w:pPr>
        <w:tabs>
          <w:tab w:val="left" w:pos="720"/>
        </w:tabs>
      </w:pPr>
      <w:r>
        <w:t>2.</w:t>
      </w:r>
      <w:r>
        <w:tab/>
      </w:r>
      <w:r>
        <w:rPr>
          <w:b/>
        </w:rPr>
        <w:t>Confidentiality and Use</w:t>
      </w:r>
      <w:r>
        <w:t>.</w:t>
      </w:r>
    </w:p>
    <w:p w14:paraId="054D8402" w14:textId="77777777" w:rsidR="00A23A7C" w:rsidRDefault="00A23A7C">
      <w:pPr>
        <w:tabs>
          <w:tab w:val="left" w:pos="720"/>
        </w:tabs>
      </w:pPr>
    </w:p>
    <w:p w14:paraId="09CDF93A" w14:textId="42BD7D16" w:rsidR="00A23A7C" w:rsidRDefault="00A23A7C">
      <w:pPr>
        <w:tabs>
          <w:tab w:val="left" w:pos="720"/>
        </w:tabs>
        <w:ind w:left="1440" w:hanging="1440"/>
      </w:pPr>
      <w:r>
        <w:tab/>
        <w:t>2.1</w:t>
      </w:r>
      <w:r>
        <w:tab/>
      </w:r>
      <w:r>
        <w:rPr>
          <w:b/>
        </w:rPr>
        <w:t>Standard of Care</w:t>
      </w:r>
      <w:r>
        <w:t xml:space="preserve">.  </w:t>
      </w:r>
      <w:r w:rsidR="00326117">
        <w:t>Recipient</w:t>
      </w:r>
      <w:r>
        <w:t xml:space="preserve"> will keep in confidence all Confidential Information that it receives from </w:t>
      </w:r>
      <w:r w:rsidR="00326117">
        <w:t>Discloser</w:t>
      </w:r>
      <w:r>
        <w:t xml:space="preserve">, using the same degree of care it uses to protect its own confidential or proprietary information, which degree may not be less than a </w:t>
      </w:r>
      <w:r w:rsidR="00704A88">
        <w:t xml:space="preserve">commercially </w:t>
      </w:r>
      <w:r>
        <w:t>reasonable standard of care.</w:t>
      </w:r>
    </w:p>
    <w:p w14:paraId="3DDED7E6" w14:textId="77777777" w:rsidR="00A23A7C" w:rsidRDefault="00A23A7C">
      <w:pPr>
        <w:tabs>
          <w:tab w:val="left" w:pos="720"/>
        </w:tabs>
      </w:pPr>
    </w:p>
    <w:p w14:paraId="290D6461" w14:textId="77777777" w:rsidR="00A23A7C" w:rsidRDefault="00A23A7C">
      <w:pPr>
        <w:tabs>
          <w:tab w:val="left" w:pos="720"/>
        </w:tabs>
        <w:ind w:left="1440" w:hanging="1440"/>
      </w:pPr>
      <w:r>
        <w:lastRenderedPageBreak/>
        <w:tab/>
        <w:t>2.2</w:t>
      </w:r>
      <w:r>
        <w:tab/>
      </w:r>
      <w:r>
        <w:rPr>
          <w:b/>
        </w:rPr>
        <w:t>Limitation on Use</w:t>
      </w:r>
      <w:r>
        <w:t xml:space="preserve">.  </w:t>
      </w:r>
      <w:r w:rsidR="00326117">
        <w:t>Recipient</w:t>
      </w:r>
      <w:r w:rsidR="003B74D1">
        <w:t xml:space="preserve"> may review and use </w:t>
      </w:r>
      <w:r w:rsidR="009A4502">
        <w:t xml:space="preserve">Discloser’s </w:t>
      </w:r>
      <w:r w:rsidR="003B74D1">
        <w:t xml:space="preserve">Confidential Information only for the purpose of </w:t>
      </w:r>
      <w:r w:rsidR="009A4502">
        <w:t xml:space="preserve">engaging in the Discussions and </w:t>
      </w:r>
      <w:r w:rsidR="002D0125">
        <w:t>evaluating a proposed T</w:t>
      </w:r>
      <w:r w:rsidR="003B74D1">
        <w:t xml:space="preserve">ransaction between the parties, and </w:t>
      </w:r>
      <w:r w:rsidR="00326117">
        <w:t>Recipient</w:t>
      </w:r>
      <w:r>
        <w:t xml:space="preserve"> will not, directly or indirectly, use any </w:t>
      </w:r>
      <w:r w:rsidR="002D0125">
        <w:t xml:space="preserve">of </w:t>
      </w:r>
      <w:r w:rsidR="009A4502">
        <w:t xml:space="preserve">Discloser’s </w:t>
      </w:r>
      <w:r>
        <w:t xml:space="preserve">Confidential Information for any </w:t>
      </w:r>
      <w:r w:rsidR="003B74D1">
        <w:t xml:space="preserve">other </w:t>
      </w:r>
      <w:r>
        <w:t xml:space="preserve">purpose without the prior written consent of </w:t>
      </w:r>
      <w:r w:rsidR="00326117">
        <w:t>Discloser</w:t>
      </w:r>
      <w:r w:rsidR="003B74D1">
        <w:t>.</w:t>
      </w:r>
      <w:r w:rsidR="000C60C3">
        <w:t xml:space="preserve">  Whether or not </w:t>
      </w:r>
      <w:r w:rsidR="002D0125">
        <w:t>the proposed T</w:t>
      </w:r>
      <w:r w:rsidR="003B74D1">
        <w:t xml:space="preserve">ransaction </w:t>
      </w:r>
      <w:r w:rsidR="000C60C3">
        <w:t xml:space="preserve">is completed, </w:t>
      </w:r>
      <w:r w:rsidR="00326117">
        <w:t>Recipient</w:t>
      </w:r>
      <w:r w:rsidR="000C60C3">
        <w:t xml:space="preserve"> will not use any </w:t>
      </w:r>
      <w:r w:rsidR="009A4502">
        <w:t xml:space="preserve">Discloser’s </w:t>
      </w:r>
      <w:r w:rsidR="000C60C3">
        <w:t xml:space="preserve">Confidential Information for the purpose of seeking to recruit or hire or form any business relationship with any current employee of </w:t>
      </w:r>
      <w:r w:rsidR="00326117">
        <w:t>Discloser</w:t>
      </w:r>
      <w:r w:rsidR="000C60C3">
        <w:t>.</w:t>
      </w:r>
      <w:r w:rsidR="009A4502">
        <w:t xml:space="preserve"> </w:t>
      </w:r>
    </w:p>
    <w:p w14:paraId="01D09E35" w14:textId="77777777" w:rsidR="00A23A7C" w:rsidRDefault="00A23A7C">
      <w:pPr>
        <w:tabs>
          <w:tab w:val="left" w:pos="720"/>
        </w:tabs>
      </w:pPr>
    </w:p>
    <w:p w14:paraId="3B51F6E0" w14:textId="5A5F670F" w:rsidR="00A23A7C" w:rsidRDefault="00A23A7C">
      <w:pPr>
        <w:tabs>
          <w:tab w:val="left" w:pos="720"/>
        </w:tabs>
        <w:ind w:left="1440" w:hanging="1440"/>
      </w:pPr>
      <w:r>
        <w:tab/>
        <w:t>2.3</w:t>
      </w:r>
      <w:r>
        <w:tab/>
      </w:r>
      <w:r>
        <w:rPr>
          <w:b/>
        </w:rPr>
        <w:t>Non-Disclosure</w:t>
      </w:r>
      <w:r>
        <w:t xml:space="preserve">.  </w:t>
      </w:r>
      <w:r w:rsidR="00326117">
        <w:t>Recipient</w:t>
      </w:r>
      <w:r>
        <w:t xml:space="preserve"> will not disclose any Confidential Information that it receives from </w:t>
      </w:r>
      <w:r w:rsidR="00326117">
        <w:t>Discloser</w:t>
      </w:r>
      <w:r>
        <w:t xml:space="preserve"> to any third party, including any individual, corporation, </w:t>
      </w:r>
      <w:r w:rsidR="00DA6DC8">
        <w:t>Company</w:t>
      </w:r>
      <w:r>
        <w:t>, partnership, organization, association or other entity or person</w:t>
      </w:r>
      <w:r w:rsidR="00704A88">
        <w:t>;</w:t>
      </w:r>
      <w:r w:rsidR="009A4502">
        <w:t xml:space="preserve"> provided, however, Recipient may disclose to its </w:t>
      </w:r>
      <w:r w:rsidR="00C05978">
        <w:t>Representative</w:t>
      </w:r>
      <w:r w:rsidR="009A4502">
        <w:t>s Discloser’s Confidential Information.</w:t>
      </w:r>
      <w:r>
        <w:t xml:space="preserve">  </w:t>
      </w:r>
      <w:r w:rsidR="00326117">
        <w:t>Recipient</w:t>
      </w:r>
      <w:r>
        <w:t xml:space="preserve"> will ensure that </w:t>
      </w:r>
      <w:r w:rsidR="00052BFD">
        <w:t xml:space="preserve">its </w:t>
      </w:r>
      <w:r w:rsidR="00C05978">
        <w:t>Representative</w:t>
      </w:r>
      <w:r w:rsidR="00052BFD">
        <w:t xml:space="preserve">s </w:t>
      </w:r>
      <w:r w:rsidR="00704A88">
        <w:t xml:space="preserve">are aware of </w:t>
      </w:r>
      <w:r w:rsidR="000C60C3">
        <w:t xml:space="preserve">this </w:t>
      </w:r>
      <w:r w:rsidR="00176FF6">
        <w:t>A</w:t>
      </w:r>
      <w:r w:rsidR="000C60C3">
        <w:t xml:space="preserve">greement and confirm their </w:t>
      </w:r>
      <w:r w:rsidR="003B74D1">
        <w:t xml:space="preserve">agreement </w:t>
      </w:r>
      <w:r w:rsidR="000C60C3">
        <w:t xml:space="preserve">to </w:t>
      </w:r>
      <w:r w:rsidR="00052BFD">
        <w:t>hold Discloser’s</w:t>
      </w:r>
      <w:r>
        <w:t xml:space="preserve"> Confidential Information in confidence and not to use it for </w:t>
      </w:r>
      <w:r w:rsidR="000C60C3">
        <w:t>any purpose</w:t>
      </w:r>
      <w:r>
        <w:t xml:space="preserve"> other than </w:t>
      </w:r>
      <w:r w:rsidR="002D0125">
        <w:t xml:space="preserve">engage in the Discussion or </w:t>
      </w:r>
      <w:r>
        <w:t xml:space="preserve">to </w:t>
      </w:r>
      <w:r w:rsidR="003B74D1">
        <w:t xml:space="preserve">evaluate </w:t>
      </w:r>
      <w:r>
        <w:t xml:space="preserve">the </w:t>
      </w:r>
      <w:r w:rsidR="002D0125">
        <w:t>proposed T</w:t>
      </w:r>
      <w:r w:rsidR="000C60C3">
        <w:t xml:space="preserve">ransaction </w:t>
      </w:r>
      <w:r w:rsidR="00704A88">
        <w:t xml:space="preserve">on behalf of Recipient </w:t>
      </w:r>
      <w:r w:rsidR="000C60C3">
        <w:t xml:space="preserve">with </w:t>
      </w:r>
      <w:r w:rsidR="00326117">
        <w:t>Discloser</w:t>
      </w:r>
      <w:r>
        <w:t>.</w:t>
      </w:r>
    </w:p>
    <w:p w14:paraId="5278BBE1" w14:textId="77777777" w:rsidR="00A23A7C" w:rsidRDefault="00A23A7C">
      <w:pPr>
        <w:tabs>
          <w:tab w:val="left" w:pos="720"/>
        </w:tabs>
        <w:ind w:left="1440" w:hanging="1440"/>
      </w:pPr>
    </w:p>
    <w:p w14:paraId="7CCC82AC" w14:textId="63D30902" w:rsidR="00A23A7C" w:rsidRDefault="00A23A7C">
      <w:pPr>
        <w:tabs>
          <w:tab w:val="left" w:pos="720"/>
        </w:tabs>
        <w:ind w:left="1440" w:hanging="1440"/>
      </w:pPr>
      <w:r>
        <w:tab/>
        <w:t>2.4</w:t>
      </w:r>
      <w:r>
        <w:tab/>
      </w:r>
      <w:r>
        <w:rPr>
          <w:b/>
        </w:rPr>
        <w:t>Materials</w:t>
      </w:r>
      <w:r w:rsidRPr="009D728A">
        <w:t>.</w:t>
      </w:r>
      <w:r>
        <w:t xml:space="preserve">  </w:t>
      </w:r>
      <w:r w:rsidR="00326117">
        <w:t>Recipient</w:t>
      </w:r>
      <w:r>
        <w:t xml:space="preserve"> will not photocopy or reproduce any portion of the </w:t>
      </w:r>
      <w:r w:rsidR="00052BFD">
        <w:t xml:space="preserve">Discloser’s </w:t>
      </w:r>
      <w:r>
        <w:t xml:space="preserve">Confidential Information </w:t>
      </w:r>
      <w:r w:rsidR="00052BFD">
        <w:t>except as necessary for the purposes set forth in this Agreement</w:t>
      </w:r>
      <w:r w:rsidR="00704A88">
        <w:t xml:space="preserve">, </w:t>
      </w:r>
      <w:r w:rsidR="00052BFD">
        <w:t xml:space="preserve">and copies which are made shall be treated as Confidential Information to the same extent as was the original.  All Discloser’s Confidential Information, unless otherwise agreed to in writing signed by the Discloser, shall remain the property of the Discloser.  </w:t>
      </w:r>
      <w:r w:rsidR="00052BFD" w:rsidRPr="00052BFD">
        <w:t>In the event the Discussions are terminated, or within 10 days following the Disclos</w:t>
      </w:r>
      <w:r w:rsidR="00052BFD">
        <w:t>er</w:t>
      </w:r>
      <w:r w:rsidR="00052BFD" w:rsidRPr="00052BFD">
        <w:t xml:space="preserve">’s </w:t>
      </w:r>
      <w:r w:rsidR="00704A88">
        <w:t xml:space="preserve">written </w:t>
      </w:r>
      <w:r w:rsidR="00052BFD" w:rsidRPr="00052BFD">
        <w:t xml:space="preserve">request, the Recipient and its </w:t>
      </w:r>
      <w:r w:rsidR="00C05978">
        <w:t>Representative</w:t>
      </w:r>
      <w:r w:rsidR="00052BFD" w:rsidRPr="00052BFD">
        <w:t>s shall promptly return</w:t>
      </w:r>
      <w:r w:rsidR="00704A88">
        <w:t xml:space="preserve"> or destroy</w:t>
      </w:r>
      <w:r w:rsidR="00052BFD" w:rsidRPr="00052BFD">
        <w:t xml:space="preserve"> all documentation (whether original or copies) and other materials (whether tangible or stored in any computer memory or storage medium) containing any </w:t>
      </w:r>
      <w:r w:rsidR="00052BFD">
        <w:t xml:space="preserve">of Discloser’s </w:t>
      </w:r>
      <w:r w:rsidR="00052BFD" w:rsidRPr="00052BFD">
        <w:t>Confidential Information without retaining any copies thereof.  The Recipient shall thereafter</w:t>
      </w:r>
      <w:r w:rsidR="00704A88">
        <w:t>, at Discloser’s written request,</w:t>
      </w:r>
      <w:r w:rsidR="00052BFD" w:rsidRPr="00052BFD">
        <w:t xml:space="preserve"> provide a certification signed by an officer that all such materials have been </w:t>
      </w:r>
      <w:r w:rsidR="00052BFD">
        <w:t>returned to Discloser</w:t>
      </w:r>
      <w:r w:rsidR="00704A88">
        <w:t xml:space="preserve"> or destroyed</w:t>
      </w:r>
      <w:r w:rsidR="00052BFD" w:rsidRPr="00052BFD">
        <w:t>.</w:t>
      </w:r>
      <w:r w:rsidR="002B0AD5">
        <w:t xml:space="preserve">  Notwithstanding the foregoing, a</w:t>
      </w:r>
      <w:r w:rsidR="002B0AD5" w:rsidRPr="002B0AD5">
        <w:t xml:space="preserve">lthough </w:t>
      </w:r>
      <w:r w:rsidR="002B0AD5">
        <w:t>Recipient</w:t>
      </w:r>
      <w:r w:rsidR="002B0AD5" w:rsidRPr="002B0AD5">
        <w:t xml:space="preserve"> shall return or destroy Confidential Information of Disclos</w:t>
      </w:r>
      <w:r w:rsidR="002B0AD5">
        <w:t>er</w:t>
      </w:r>
      <w:r w:rsidR="002B0AD5" w:rsidRPr="002B0AD5">
        <w:t xml:space="preserve">, the </w:t>
      </w:r>
      <w:r w:rsidR="002B0AD5">
        <w:t>p</w:t>
      </w:r>
      <w:r w:rsidR="002B0AD5" w:rsidRPr="002B0AD5">
        <w:t>arties hereto acknowledge and agree that, due to the nature of computer information storage systems and e-mail communications, even if a file is “deleted,” a shadow or back-up copy may remain within the Rec</w:t>
      </w:r>
      <w:r w:rsidR="002B0AD5">
        <w:t>ipient</w:t>
      </w:r>
      <w:r w:rsidR="002B0AD5" w:rsidRPr="002B0AD5">
        <w:t xml:space="preserve">’s or its Representatives’ computer systems or its back-up or electronic archive systems (collectively, </w:t>
      </w:r>
      <w:r w:rsidR="002B0AD5" w:rsidRPr="005E3248">
        <w:rPr>
          <w:b/>
          <w:bCs/>
        </w:rPr>
        <w:t>“</w:t>
      </w:r>
      <w:r w:rsidR="002B0AD5" w:rsidRPr="005E3248">
        <w:rPr>
          <w:b/>
          <w:bCs/>
          <w:i/>
          <w:iCs/>
          <w:u w:val="single"/>
        </w:rPr>
        <w:t>Inadvertently Retained Files</w:t>
      </w:r>
      <w:r w:rsidR="002B0AD5" w:rsidRPr="005E3248">
        <w:rPr>
          <w:b/>
          <w:bCs/>
        </w:rPr>
        <w:t>”</w:t>
      </w:r>
      <w:r w:rsidR="002B0AD5" w:rsidRPr="002B0AD5">
        <w:t>).  Rec</w:t>
      </w:r>
      <w:r w:rsidR="002B0AD5">
        <w:t>ipient</w:t>
      </w:r>
      <w:r w:rsidR="002B0AD5" w:rsidRPr="002B0AD5">
        <w:t xml:space="preserve"> and its Representatives need not destroy Inadvertently Retained Files made in the ordinary course of business or remove any Inadvertently Retained Files where it would be commercially impracticable to do so.  The </w:t>
      </w:r>
      <w:r w:rsidR="002B0AD5">
        <w:t>p</w:t>
      </w:r>
      <w:r w:rsidR="002B0AD5" w:rsidRPr="002B0AD5">
        <w:t xml:space="preserve">arties agree that retention of Inadvertently Retained Files by the </w:t>
      </w:r>
      <w:r w:rsidR="002B0AD5">
        <w:t>Recipient</w:t>
      </w:r>
      <w:r w:rsidR="002B0AD5" w:rsidRPr="002B0AD5">
        <w:t xml:space="preserve"> and its Representatives shall not be deemed to constitute a breach of this Agreement; however, if any such Inadvertently Retained Files contain any Confidential Information, such Confidential Information shall remain confidential and subject to the limitations set forth in this Agreement.</w:t>
      </w:r>
    </w:p>
    <w:p w14:paraId="4CBDFBD1" w14:textId="77777777" w:rsidR="00A23A7C" w:rsidRDefault="00A23A7C">
      <w:pPr>
        <w:tabs>
          <w:tab w:val="left" w:pos="720"/>
        </w:tabs>
        <w:ind w:left="1440" w:hanging="1440"/>
      </w:pPr>
    </w:p>
    <w:p w14:paraId="2F725A2B" w14:textId="77777777" w:rsidR="00A23A7C" w:rsidRDefault="00A23A7C">
      <w:pPr>
        <w:tabs>
          <w:tab w:val="left" w:pos="720"/>
        </w:tabs>
        <w:ind w:left="1440" w:hanging="1440"/>
      </w:pPr>
      <w:r>
        <w:tab/>
        <w:t>2.5</w:t>
      </w:r>
      <w:r>
        <w:tab/>
      </w:r>
      <w:r>
        <w:rPr>
          <w:b/>
        </w:rPr>
        <w:t>Survival</w:t>
      </w:r>
      <w:r w:rsidRPr="009D728A">
        <w:t>.</w:t>
      </w:r>
      <w:r>
        <w:t xml:space="preserve">  </w:t>
      </w:r>
      <w:r w:rsidR="002D0125">
        <w:t xml:space="preserve">This Agreement and the parties’ </w:t>
      </w:r>
      <w:r>
        <w:t xml:space="preserve">obligations </w:t>
      </w:r>
      <w:r w:rsidR="002D0125">
        <w:t xml:space="preserve">hereunder </w:t>
      </w:r>
      <w:r w:rsidR="00052BFD">
        <w:t xml:space="preserve">shall </w:t>
      </w:r>
      <w:r w:rsidR="002D0125">
        <w:t xml:space="preserve">terminate on </w:t>
      </w:r>
      <w:r w:rsidR="00081549">
        <w:t xml:space="preserve">the first to occur of: </w:t>
      </w:r>
      <w:r w:rsidR="00052BFD">
        <w:t>(a) </w:t>
      </w:r>
      <w:r w:rsidR="002D0125">
        <w:t xml:space="preserve">the </w:t>
      </w:r>
      <w:r>
        <w:t xml:space="preserve">completion or termination of the </w:t>
      </w:r>
      <w:r w:rsidR="002D0125">
        <w:t>proposed T</w:t>
      </w:r>
      <w:r w:rsidR="00052BFD">
        <w:t xml:space="preserve">ransaction, </w:t>
      </w:r>
      <w:r w:rsidR="002D0125">
        <w:t>or (b</w:t>
      </w:r>
      <w:r w:rsidR="00081549">
        <w:t xml:space="preserve">) the </w:t>
      </w:r>
      <w:r w:rsidR="001A33F9">
        <w:t>date which is three</w:t>
      </w:r>
      <w:r w:rsidR="00C94324">
        <w:t xml:space="preserve"> </w:t>
      </w:r>
      <w:r w:rsidR="002D0125">
        <w:t>(</w:t>
      </w:r>
      <w:r w:rsidR="001A33F9">
        <w:t>3</w:t>
      </w:r>
      <w:r w:rsidR="002D0125">
        <w:t>) year</w:t>
      </w:r>
      <w:r w:rsidR="001A33F9">
        <w:t>s</w:t>
      </w:r>
      <w:r w:rsidR="00081549">
        <w:t xml:space="preserve"> from the date of this Agreement.</w:t>
      </w:r>
    </w:p>
    <w:p w14:paraId="50F9E3E9" w14:textId="77777777" w:rsidR="00A23A7C" w:rsidRDefault="00A23A7C">
      <w:pPr>
        <w:tabs>
          <w:tab w:val="left" w:pos="720"/>
        </w:tabs>
      </w:pPr>
    </w:p>
    <w:p w14:paraId="1DA935A4" w14:textId="49BEB602" w:rsidR="00A23A7C" w:rsidRDefault="00A23A7C">
      <w:pPr>
        <w:tabs>
          <w:tab w:val="left" w:pos="720"/>
        </w:tabs>
        <w:ind w:left="720" w:hanging="720"/>
      </w:pPr>
      <w:r>
        <w:t>3.</w:t>
      </w:r>
      <w:r>
        <w:tab/>
      </w:r>
      <w:r>
        <w:rPr>
          <w:b/>
        </w:rPr>
        <w:t>Exclusions</w:t>
      </w:r>
      <w:r w:rsidRPr="009D728A">
        <w:t>.</w:t>
      </w:r>
      <w:r>
        <w:t xml:space="preserve">  The obligations imposed by this Agreement do not apply with respect to any Confidential Information that: (a) is used or disclosed by </w:t>
      </w:r>
      <w:r w:rsidR="00326117">
        <w:t>Recipient</w:t>
      </w:r>
      <w:r>
        <w:t xml:space="preserve"> with the prior written consent of </w:t>
      </w:r>
      <w:r w:rsidR="00326117">
        <w:t>Discloser</w:t>
      </w:r>
      <w:r>
        <w:t xml:space="preserve">, to the extent of the consent; (b) is generally available to the public at the time of disclosure to </w:t>
      </w:r>
      <w:r w:rsidR="00326117">
        <w:t>Recipient</w:t>
      </w:r>
      <w:r>
        <w:t xml:space="preserve">; (c) becomes generally available to the public through no act or disclosure by </w:t>
      </w:r>
      <w:r w:rsidR="00326117">
        <w:t>Recipient</w:t>
      </w:r>
      <w:r>
        <w:t xml:space="preserve"> or its</w:t>
      </w:r>
      <w:r w:rsidR="00052BFD">
        <w:t xml:space="preserve"> </w:t>
      </w:r>
      <w:r w:rsidR="00C05978">
        <w:t>Representative</w:t>
      </w:r>
      <w:r w:rsidR="00052BFD">
        <w:t>s</w:t>
      </w:r>
      <w:r>
        <w:t>; (d) is required to be disclosed pursu</w:t>
      </w:r>
      <w:r w:rsidRPr="002D0125">
        <w:t>ant to judicial order or other compulsion of law</w:t>
      </w:r>
      <w:r w:rsidR="00704A88">
        <w:t>;</w:t>
      </w:r>
      <w:r w:rsidRPr="002D0125">
        <w:t xml:space="preserve"> </w:t>
      </w:r>
      <w:r w:rsidR="00052BFD" w:rsidRPr="002D0125">
        <w:t xml:space="preserve">provided, however, </w:t>
      </w:r>
      <w:r w:rsidR="00326117" w:rsidRPr="002D0125">
        <w:t>Recipient</w:t>
      </w:r>
      <w:r w:rsidRPr="002D0125">
        <w:t xml:space="preserve"> </w:t>
      </w:r>
      <w:r w:rsidR="002D0125" w:rsidRPr="002D0125">
        <w:t xml:space="preserve">shall </w:t>
      </w:r>
      <w:r w:rsidR="00052BFD" w:rsidRPr="002D0125">
        <w:t>comply</w:t>
      </w:r>
      <w:r w:rsidRPr="002D0125">
        <w:t xml:space="preserve"> with any protective or similar order </w:t>
      </w:r>
      <w:r w:rsidR="00052BFD" w:rsidRPr="002D0125">
        <w:t xml:space="preserve">obtained by Discloser which limits </w:t>
      </w:r>
      <w:r w:rsidR="007803A9" w:rsidRPr="002D0125">
        <w:t>the disclosure; (e) was lawfully obtained by Recipient from a third party not under an obligation of</w:t>
      </w:r>
      <w:r w:rsidR="007803A9">
        <w:t xml:space="preserve"> confidentiality to the Discloser; (f) </w:t>
      </w:r>
      <w:r w:rsidR="002B0AD5">
        <w:t xml:space="preserve">was independently developed by the Recipient without the use of or reference to Confidential Information; or (g) </w:t>
      </w:r>
      <w:r w:rsidR="007803A9">
        <w:t>was in the possession of Recipient at the time it was first disclosed by or on behalf of Discloser.</w:t>
      </w:r>
    </w:p>
    <w:p w14:paraId="7F7B9FCD" w14:textId="77777777" w:rsidR="00A23A7C" w:rsidRDefault="00A23A7C">
      <w:pPr>
        <w:tabs>
          <w:tab w:val="left" w:pos="720"/>
        </w:tabs>
        <w:ind w:left="720" w:hanging="720"/>
      </w:pPr>
    </w:p>
    <w:p w14:paraId="44AE89C3" w14:textId="612C4EE3" w:rsidR="00A23A7C" w:rsidRDefault="00026A88">
      <w:pPr>
        <w:tabs>
          <w:tab w:val="left" w:pos="720"/>
        </w:tabs>
        <w:ind w:left="720" w:hanging="720"/>
      </w:pPr>
      <w:r>
        <w:t>4</w:t>
      </w:r>
      <w:r w:rsidR="00A23A7C">
        <w:t>.</w:t>
      </w:r>
      <w:r w:rsidR="00A23A7C">
        <w:tab/>
      </w:r>
      <w:r w:rsidR="00A23A7C">
        <w:rPr>
          <w:b/>
        </w:rPr>
        <w:t>Injunctive Relief</w:t>
      </w:r>
      <w:r w:rsidR="00A23A7C" w:rsidRPr="009D728A">
        <w:t>.</w:t>
      </w:r>
      <w:r w:rsidR="00A23A7C">
        <w:t xml:space="preserve">  It is hereby understood and agreed that damages </w:t>
      </w:r>
      <w:r w:rsidR="00704A88">
        <w:t xml:space="preserve">may </w:t>
      </w:r>
      <w:r w:rsidR="00A23A7C">
        <w:t xml:space="preserve">be an inadequate remedy in the event of a breach of this Agreement </w:t>
      </w:r>
      <w:r w:rsidR="007803A9">
        <w:t xml:space="preserve">by either party </w:t>
      </w:r>
      <w:r w:rsidR="00A23A7C">
        <w:t xml:space="preserve">and that any such breach by </w:t>
      </w:r>
      <w:r w:rsidR="007803A9">
        <w:t xml:space="preserve">a party </w:t>
      </w:r>
      <w:r w:rsidR="00704A88">
        <w:t xml:space="preserve">may </w:t>
      </w:r>
      <w:r w:rsidR="00A23A7C">
        <w:t xml:space="preserve">cause </w:t>
      </w:r>
      <w:r w:rsidR="007803A9">
        <w:t xml:space="preserve">the other party </w:t>
      </w:r>
      <w:r w:rsidR="00A23A7C">
        <w:t xml:space="preserve">significant and irreparable injury and damage.  Accordingly, </w:t>
      </w:r>
      <w:r w:rsidR="007803A9">
        <w:t xml:space="preserve">the parties agree that each party </w:t>
      </w:r>
      <w:r w:rsidR="00A23A7C">
        <w:t xml:space="preserve">will be entitled, without waiving any additional rights or remedies otherwise available at law or in equity, to injunctive and other equitable relief in the event of a breach or intended or threatened breach by </w:t>
      </w:r>
      <w:r w:rsidR="007803A9">
        <w:t>the other party</w:t>
      </w:r>
      <w:r w:rsidR="00A23A7C">
        <w:t xml:space="preserve"> of this Agreement.</w:t>
      </w:r>
    </w:p>
    <w:p w14:paraId="76E7D547" w14:textId="77777777" w:rsidR="00A23A7C" w:rsidRDefault="00A23A7C">
      <w:pPr>
        <w:tabs>
          <w:tab w:val="left" w:pos="720"/>
        </w:tabs>
      </w:pPr>
    </w:p>
    <w:p w14:paraId="36EE0406" w14:textId="37BC1252" w:rsidR="00A23A7C" w:rsidRDefault="00026A88">
      <w:pPr>
        <w:tabs>
          <w:tab w:val="left" w:pos="720"/>
        </w:tabs>
        <w:ind w:left="720" w:hanging="720"/>
        <w:rPr>
          <w:spacing w:val="-3"/>
          <w:szCs w:val="24"/>
        </w:rPr>
      </w:pPr>
      <w:r>
        <w:t>5</w:t>
      </w:r>
      <w:r w:rsidR="00A23A7C">
        <w:t>.</w:t>
      </w:r>
      <w:r w:rsidR="00A23A7C">
        <w:tab/>
      </w:r>
      <w:r w:rsidR="00A23A7C">
        <w:rPr>
          <w:b/>
        </w:rPr>
        <w:t>Miscellaneous</w:t>
      </w:r>
      <w:r w:rsidR="00A23A7C" w:rsidRPr="009D728A">
        <w:t>.</w:t>
      </w:r>
      <w:r w:rsidR="00A23A7C">
        <w:t xml:space="preserve">  This Agreement constitutes the entire agreement between the parties regarding the subject matter hereof, supersedes and replaces all prior agreements, oral or written, between the parties relating to the subject matter hereof, and may not be changed or modified except by a </w:t>
      </w:r>
      <w:r w:rsidR="007803A9">
        <w:t>written instrument executed by all the parties</w:t>
      </w:r>
      <w:r w:rsidR="00A23A7C">
        <w:t>.  In case any provision of this Agreement is declared invalid, illegal or unenforceable in any respect, such invalidity, illegality or unenforceability shall not affect any other provision of this Agreement, and this Agreement shall be construed as if such provision had not been contained herein, provided that such provision shall be limited or eliminated only to the extent necessary to remove the invalidity, illegality or unenforceability.  This Agreement may be executed in several counterparts and by facsimile.  This Agreement is governed, enforced and construed under t</w:t>
      </w:r>
      <w:r w:rsidR="00E811AF">
        <w:t xml:space="preserve">he laws of the State of </w:t>
      </w:r>
      <w:r w:rsidR="00EE5EB9">
        <w:t>Minnesota</w:t>
      </w:r>
      <w:r w:rsidR="00A23A7C">
        <w:t>, without regard to its conflict of laws principles.  The venue for any action under this Agreement shall be in</w:t>
      </w:r>
      <w:r w:rsidR="00EE5EB9">
        <w:t xml:space="preserve"> Minnesota</w:t>
      </w:r>
      <w:r w:rsidR="00704A88">
        <w:t>,</w:t>
      </w:r>
      <w:r w:rsidR="00E811AF">
        <w:t xml:space="preserve"> </w:t>
      </w:r>
      <w:r w:rsidR="00A23A7C">
        <w:t xml:space="preserve">whether or not such venue is or subsequently becomes inconvenient, and the parties consent to the jurisdiction of any federal or state </w:t>
      </w:r>
      <w:r w:rsidR="00E811AF">
        <w:t xml:space="preserve">court located in </w:t>
      </w:r>
      <w:r w:rsidR="001474CE">
        <w:t>Minnesota</w:t>
      </w:r>
      <w:r w:rsidR="00A23A7C">
        <w:t xml:space="preserve">. </w:t>
      </w:r>
      <w:r w:rsidR="007803A9">
        <w:t xml:space="preserve"> </w:t>
      </w:r>
      <w:r w:rsidR="007803A9" w:rsidRPr="007803A9">
        <w:t>All pronouns used in this Agreement shall be deemed to include the masculine, feminine, and neuter.  Plural terms shall be deemed to include the singular and the singular the plural whenever necessary or appropriate to effect the intent of this Agreement.</w:t>
      </w:r>
      <w:r w:rsidR="007803A9">
        <w:t xml:space="preserve">  </w:t>
      </w:r>
      <w:r w:rsidR="007803A9">
        <w:rPr>
          <w:spacing w:val="-3"/>
          <w:szCs w:val="24"/>
        </w:rPr>
        <w:t xml:space="preserve">The Section and other titles and headings contained in this Agreement are for convenience only and shall not be deemed a part of the context of this Agreement.  </w:t>
      </w:r>
      <w:r w:rsidR="007803A9" w:rsidRPr="007803A9">
        <w:rPr>
          <w:spacing w:val="-3"/>
          <w:szCs w:val="24"/>
        </w:rPr>
        <w:t xml:space="preserve">This Agreement shall be binding upon </w:t>
      </w:r>
      <w:r w:rsidR="007803A9">
        <w:rPr>
          <w:spacing w:val="-3"/>
          <w:szCs w:val="24"/>
        </w:rPr>
        <w:t xml:space="preserve">and inure to the benefit of </w:t>
      </w:r>
      <w:r w:rsidR="007803A9" w:rsidRPr="007803A9">
        <w:rPr>
          <w:spacing w:val="-3"/>
          <w:szCs w:val="24"/>
        </w:rPr>
        <w:t xml:space="preserve">the </w:t>
      </w:r>
      <w:r w:rsidR="007803A9">
        <w:rPr>
          <w:spacing w:val="-3"/>
          <w:szCs w:val="24"/>
        </w:rPr>
        <w:t xml:space="preserve">parties </w:t>
      </w:r>
      <w:r w:rsidR="007803A9" w:rsidRPr="007803A9">
        <w:rPr>
          <w:spacing w:val="-3"/>
          <w:szCs w:val="24"/>
        </w:rPr>
        <w:t>and their respective heirs, successors and assigns</w:t>
      </w:r>
      <w:r w:rsidR="007803A9">
        <w:rPr>
          <w:spacing w:val="-3"/>
          <w:szCs w:val="24"/>
        </w:rPr>
        <w:t>.</w:t>
      </w:r>
    </w:p>
    <w:p w14:paraId="641D1E23" w14:textId="77777777" w:rsidR="007803A9" w:rsidRDefault="007803A9">
      <w:pPr>
        <w:tabs>
          <w:tab w:val="left" w:pos="720"/>
        </w:tabs>
        <w:ind w:left="720" w:hanging="720"/>
        <w:rPr>
          <w:spacing w:val="-3"/>
          <w:szCs w:val="24"/>
        </w:rPr>
      </w:pPr>
    </w:p>
    <w:p w14:paraId="00859D5C" w14:textId="1B366549" w:rsidR="006D3140" w:rsidRDefault="007803A9" w:rsidP="005E3248">
      <w:pPr>
        <w:tabs>
          <w:tab w:val="left" w:pos="720"/>
        </w:tabs>
        <w:ind w:left="720" w:hanging="720"/>
      </w:pPr>
      <w:r>
        <w:rPr>
          <w:spacing w:val="-3"/>
          <w:szCs w:val="24"/>
        </w:rPr>
        <w:t>6.</w:t>
      </w:r>
      <w:r>
        <w:rPr>
          <w:spacing w:val="-3"/>
          <w:szCs w:val="24"/>
        </w:rPr>
        <w:tab/>
      </w:r>
      <w:r>
        <w:rPr>
          <w:b/>
          <w:spacing w:val="-3"/>
          <w:szCs w:val="24"/>
        </w:rPr>
        <w:t xml:space="preserve">No Obligation to </w:t>
      </w:r>
      <w:r w:rsidR="00D03BE9">
        <w:rPr>
          <w:b/>
          <w:spacing w:val="-3"/>
          <w:szCs w:val="24"/>
        </w:rPr>
        <w:t>Transact</w:t>
      </w:r>
      <w:r>
        <w:rPr>
          <w:spacing w:val="-3"/>
          <w:szCs w:val="24"/>
        </w:rPr>
        <w:t xml:space="preserve">.  Nothing herein shall obligate either of the parties to continue the Discussions or to </w:t>
      </w:r>
      <w:proofErr w:type="gramStart"/>
      <w:r>
        <w:rPr>
          <w:spacing w:val="-3"/>
          <w:szCs w:val="24"/>
        </w:rPr>
        <w:t>enter int</w:t>
      </w:r>
      <w:r w:rsidR="002D0125">
        <w:rPr>
          <w:spacing w:val="-3"/>
          <w:szCs w:val="24"/>
        </w:rPr>
        <w:t>o</w:t>
      </w:r>
      <w:proofErr w:type="gramEnd"/>
      <w:r w:rsidR="002D0125">
        <w:rPr>
          <w:spacing w:val="-3"/>
          <w:szCs w:val="24"/>
        </w:rPr>
        <w:t>, or consummate, any proposed T</w:t>
      </w:r>
      <w:r>
        <w:rPr>
          <w:spacing w:val="-3"/>
          <w:szCs w:val="24"/>
        </w:rPr>
        <w:t>ransaction.</w:t>
      </w:r>
    </w:p>
    <w:p w14:paraId="4EE40DC7" w14:textId="77777777" w:rsidR="006D3140" w:rsidRDefault="006D3140">
      <w:pPr>
        <w:tabs>
          <w:tab w:val="left" w:pos="720"/>
        </w:tabs>
      </w:pPr>
    </w:p>
    <w:p w14:paraId="7476AC7D" w14:textId="3C4600AA" w:rsidR="00A23A7C" w:rsidRDefault="006D3140">
      <w:pPr>
        <w:tabs>
          <w:tab w:val="left" w:pos="720"/>
        </w:tabs>
      </w:pPr>
      <w:r>
        <w:tab/>
      </w:r>
      <w:r w:rsidR="00A23A7C">
        <w:t>The parties have executed this Agreement as of the date first written above.</w:t>
      </w:r>
    </w:p>
    <w:p w14:paraId="07C42209" w14:textId="77777777" w:rsidR="00A23A7C" w:rsidRDefault="00A23A7C">
      <w:pPr>
        <w:tabs>
          <w:tab w:val="left" w:pos="720"/>
        </w:tabs>
      </w:pPr>
    </w:p>
    <w:p w14:paraId="0A5A7908" w14:textId="77777777" w:rsidR="00A23A7C" w:rsidRDefault="00A23A7C">
      <w:pPr>
        <w:tabs>
          <w:tab w:val="left" w:pos="720"/>
        </w:tabs>
        <w:rPr>
          <w:b/>
        </w:rPr>
      </w:pPr>
    </w:p>
    <w:p w14:paraId="4BE1DF81" w14:textId="3DE70725" w:rsidR="00A23A7C" w:rsidRDefault="00DA6DC8">
      <w:pPr>
        <w:tabs>
          <w:tab w:val="left" w:pos="720"/>
        </w:tabs>
      </w:pPr>
      <w:r>
        <w:t>Company</w:t>
      </w:r>
      <w:r w:rsidR="00AB6F33">
        <w:tab/>
      </w:r>
      <w:r w:rsidR="008B1A0A">
        <w:tab/>
      </w:r>
      <w:r w:rsidR="00176FF6">
        <w:tab/>
      </w:r>
      <w:r w:rsidR="005E3248">
        <w:tab/>
      </w:r>
      <w:r w:rsidR="005E3248">
        <w:tab/>
      </w:r>
      <w:r w:rsidR="005E3248">
        <w:tab/>
      </w:r>
      <w:proofErr w:type="spellStart"/>
      <w:r w:rsidR="00E30F12">
        <w:t>YellowStone</w:t>
      </w:r>
      <w:proofErr w:type="spellEnd"/>
      <w:r w:rsidR="00E30F12">
        <w:t xml:space="preserve"> Farms I</w:t>
      </w:r>
      <w:r w:rsidR="002B0AD5">
        <w:t xml:space="preserve">, </w:t>
      </w:r>
      <w:r w:rsidR="00EE385F">
        <w:t>LLC</w:t>
      </w:r>
    </w:p>
    <w:p w14:paraId="33482929" w14:textId="77777777" w:rsidR="00A23A7C" w:rsidRDefault="00A23A7C">
      <w:pPr>
        <w:tabs>
          <w:tab w:val="left" w:pos="720"/>
        </w:tabs>
      </w:pPr>
    </w:p>
    <w:p w14:paraId="725FE6CE" w14:textId="77777777" w:rsidR="00176FF6" w:rsidRDefault="00176FF6">
      <w:pPr>
        <w:tabs>
          <w:tab w:val="left" w:pos="720"/>
        </w:tabs>
      </w:pPr>
    </w:p>
    <w:p w14:paraId="64264FAA" w14:textId="77777777" w:rsidR="00A23A7C" w:rsidRDefault="00176FF6">
      <w:pPr>
        <w:tabs>
          <w:tab w:val="left" w:pos="720"/>
        </w:tabs>
      </w:pPr>
      <w:r>
        <w:t>By</w:t>
      </w:r>
      <w:r w:rsidR="00A23A7C">
        <w:t>_________________________________</w:t>
      </w:r>
      <w:r w:rsidR="00A23A7C">
        <w:tab/>
      </w:r>
      <w:r w:rsidR="00A23A7C">
        <w:tab/>
      </w:r>
      <w:proofErr w:type="spellStart"/>
      <w:r>
        <w:t>By</w:t>
      </w:r>
      <w:proofErr w:type="spellEnd"/>
      <w:r w:rsidR="00A23A7C">
        <w:t>_________________________________</w:t>
      </w:r>
    </w:p>
    <w:p w14:paraId="2CCB1D14" w14:textId="77777777" w:rsidR="00A23A7C" w:rsidRDefault="00176FF6">
      <w:pPr>
        <w:tabs>
          <w:tab w:val="left" w:pos="720"/>
        </w:tabs>
      </w:pPr>
      <w:r>
        <w:t>Its</w:t>
      </w:r>
      <w:r w:rsidR="00A158CD">
        <w:t>________________________</w:t>
      </w:r>
      <w:r w:rsidR="00A158CD">
        <w:rPr>
          <w:u w:val="single"/>
        </w:rPr>
        <w:tab/>
      </w:r>
      <w:r w:rsidR="00026A88">
        <w:tab/>
      </w:r>
      <w:r w:rsidR="00A158CD">
        <w:tab/>
      </w:r>
      <w:proofErr w:type="spellStart"/>
      <w:r>
        <w:t>Its</w:t>
      </w:r>
      <w:proofErr w:type="spellEnd"/>
      <w:r w:rsidR="00A23A7C">
        <w:t>_______________________________</w:t>
      </w:r>
    </w:p>
    <w:p w14:paraId="07274676" w14:textId="77777777" w:rsidR="00A23A7C" w:rsidRDefault="00A23A7C">
      <w:pPr>
        <w:tabs>
          <w:tab w:val="left" w:pos="720"/>
        </w:tabs>
      </w:pPr>
    </w:p>
    <w:p w14:paraId="08C6C735" w14:textId="77777777" w:rsidR="00176FF6" w:rsidRDefault="00176FF6">
      <w:pPr>
        <w:tabs>
          <w:tab w:val="left" w:pos="720"/>
        </w:tabs>
      </w:pPr>
    </w:p>
    <w:p w14:paraId="4CD4E16B" w14:textId="04C7E080" w:rsidR="00176FF6" w:rsidRDefault="006D3140" w:rsidP="006D3140">
      <w:pPr>
        <w:tabs>
          <w:tab w:val="left" w:pos="720"/>
        </w:tabs>
      </w:pPr>
      <w:r>
        <w:tab/>
      </w:r>
      <w:r>
        <w:tab/>
      </w:r>
    </w:p>
    <w:sectPr w:rsidR="00176FF6">
      <w:footerReference w:type="even" r:id="rId10"/>
      <w:footerReference w:type="default" r:id="rId11"/>
      <w:pgSz w:w="12240" w:h="15840" w:code="1"/>
      <w:pgMar w:top="1440" w:right="1440" w:bottom="1440" w:left="1440" w:header="720" w:footer="720" w:gutter="0"/>
      <w:paperSrc w:first="11" w:other="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C06D" w14:textId="77777777" w:rsidR="00F626C9" w:rsidRDefault="00F626C9">
      <w:r>
        <w:separator/>
      </w:r>
    </w:p>
  </w:endnote>
  <w:endnote w:type="continuationSeparator" w:id="0">
    <w:p w14:paraId="7927AA83" w14:textId="77777777" w:rsidR="00F626C9" w:rsidRDefault="00F6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EC21" w14:textId="77777777" w:rsidR="00EE385F" w:rsidRDefault="00EE38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6E6284" w14:textId="77777777" w:rsidR="00EE385F" w:rsidRDefault="00EE385F" w:rsidP="00A610AD">
    <w:pPr>
      <w:pStyle w:val="DocID"/>
    </w:pPr>
    <w:r>
      <w:fldChar w:fldCharType="begin"/>
    </w:r>
    <w:r w:rsidR="00A610AD">
      <w:instrText>DOCPROPERTY DocXDocID DMS=InterwovenIManage Format=&lt;&lt;NUM&gt;&gt;v&lt;&lt;VER&gt;&gt;</w:instrText>
    </w:r>
    <w:r>
      <w:fldChar w:fldCharType="separate"/>
    </w:r>
    <w:r w:rsidR="00A610AD">
      <w:t>9170946v1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B8C6" w14:textId="77777777" w:rsidR="00EE385F" w:rsidRDefault="00EE38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F33">
      <w:rPr>
        <w:rStyle w:val="PageNumber"/>
        <w:noProof/>
      </w:rPr>
      <w:t>4</w:t>
    </w:r>
    <w:r>
      <w:rPr>
        <w:rStyle w:val="PageNumber"/>
      </w:rPr>
      <w:fldChar w:fldCharType="end"/>
    </w:r>
  </w:p>
  <w:p w14:paraId="6EBB7DC3" w14:textId="77777777" w:rsidR="00EE385F" w:rsidRDefault="00EE385F" w:rsidP="00DB4024">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75ED" w14:textId="77777777" w:rsidR="00F626C9" w:rsidRDefault="00F626C9">
      <w:r>
        <w:separator/>
      </w:r>
    </w:p>
  </w:footnote>
  <w:footnote w:type="continuationSeparator" w:id="0">
    <w:p w14:paraId="4D712864" w14:textId="77777777" w:rsidR="00F626C9" w:rsidRDefault="00F62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45054"/>
    <w:multiLevelType w:val="multilevel"/>
    <w:tmpl w:val="ABA09708"/>
    <w:lvl w:ilvl="0">
      <w:start w:val="2"/>
      <w:numFmt w:val="decimal"/>
      <w:suff w:val="space"/>
      <w:lvlText w:val="ARTICLE %1"/>
      <w:lvlJc w:val="center"/>
      <w:pPr>
        <w:ind w:left="0" w:firstLine="0"/>
      </w:pPr>
    </w:lvl>
    <w:lvl w:ilvl="1">
      <w:start w:val="1"/>
      <w:numFmt w:val="decimal"/>
      <w:lvlText w:val="%1.%2"/>
      <w:lvlJc w:val="left"/>
      <w:pPr>
        <w:tabs>
          <w:tab w:val="num" w:pos="1800"/>
        </w:tabs>
        <w:ind w:left="0" w:firstLine="1440"/>
      </w:pPr>
    </w:lvl>
    <w:lvl w:ilvl="2">
      <w:start w:val="1"/>
      <w:numFmt w:val="lowerLetter"/>
      <w:lvlText w:val="(%3)"/>
      <w:lvlJc w:val="left"/>
      <w:pPr>
        <w:tabs>
          <w:tab w:val="num" w:pos="2520"/>
        </w:tabs>
        <w:ind w:left="0" w:firstLine="2160"/>
      </w:pPr>
    </w:lvl>
    <w:lvl w:ilvl="3">
      <w:start w:val="1"/>
      <w:numFmt w:val="lowerRoman"/>
      <w:pStyle w:val="Heading4"/>
      <w:lvlText w:val="(%4)"/>
      <w:lvlJc w:val="left"/>
      <w:pPr>
        <w:tabs>
          <w:tab w:val="num" w:pos="2880"/>
        </w:tabs>
        <w:ind w:left="2880" w:hanging="720"/>
      </w:pPr>
    </w:lvl>
    <w:lvl w:ilvl="4">
      <w:start w:val="1"/>
      <w:numFmt w:val="decimal"/>
      <w:lvlText w:val="(%5)"/>
      <w:lvlJc w:val="left"/>
      <w:pPr>
        <w:tabs>
          <w:tab w:val="num" w:pos="3960"/>
        </w:tabs>
        <w:ind w:left="0" w:firstLine="360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7581354B"/>
    <w:multiLevelType w:val="multilevel"/>
    <w:tmpl w:val="DE863E56"/>
    <w:lvl w:ilvl="0">
      <w:start w:val="1"/>
      <w:numFmt w:val="decimal"/>
      <w:lvlText w:val="%1"/>
      <w:lvlJc w:val="left"/>
      <w:pPr>
        <w:tabs>
          <w:tab w:val="num" w:pos="432"/>
        </w:tabs>
        <w:ind w:left="432" w:hanging="432"/>
      </w:pPr>
    </w:lvl>
    <w:lvl w:ilvl="1">
      <w:start w:val="1"/>
      <w:numFmt w:val="decimal"/>
      <w:pStyle w:val="Heading2"/>
      <w:lvlText w:val="%1.%2"/>
      <w:lvlJc w:val="left"/>
      <w:pPr>
        <w:tabs>
          <w:tab w:val="num" w:pos="1080"/>
        </w:tabs>
        <w:ind w:left="0" w:firstLine="720"/>
      </w:pPr>
    </w:lvl>
    <w:lvl w:ilvl="2">
      <w:start w:val="1"/>
      <w:numFmt w:val="lowerLetter"/>
      <w:pStyle w:val="Heading3"/>
      <w:lvlText w:val="(%3)"/>
      <w:lvlJc w:val="left"/>
      <w:pPr>
        <w:tabs>
          <w:tab w:val="num" w:pos="1800"/>
        </w:tabs>
        <w:ind w:left="0" w:firstLine="1440"/>
      </w:pPr>
    </w:lvl>
    <w:lvl w:ilvl="3">
      <w:start w:val="1"/>
      <w:numFmt w:val="lowerRoman"/>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A7C"/>
    <w:rsid w:val="00026A88"/>
    <w:rsid w:val="00052BFD"/>
    <w:rsid w:val="00081549"/>
    <w:rsid w:val="000C60C3"/>
    <w:rsid w:val="001474CE"/>
    <w:rsid w:val="00176FF6"/>
    <w:rsid w:val="001A33F9"/>
    <w:rsid w:val="001B019A"/>
    <w:rsid w:val="002015E1"/>
    <w:rsid w:val="0025698B"/>
    <w:rsid w:val="00256CAF"/>
    <w:rsid w:val="00264D19"/>
    <w:rsid w:val="002B0AD5"/>
    <w:rsid w:val="002D0125"/>
    <w:rsid w:val="0030610E"/>
    <w:rsid w:val="00326117"/>
    <w:rsid w:val="00340E88"/>
    <w:rsid w:val="003451EF"/>
    <w:rsid w:val="00350B15"/>
    <w:rsid w:val="00394DA7"/>
    <w:rsid w:val="003A5F95"/>
    <w:rsid w:val="003B0CC7"/>
    <w:rsid w:val="003B74D1"/>
    <w:rsid w:val="00404DCA"/>
    <w:rsid w:val="004E6383"/>
    <w:rsid w:val="00580230"/>
    <w:rsid w:val="0059199D"/>
    <w:rsid w:val="005E3248"/>
    <w:rsid w:val="00634CAF"/>
    <w:rsid w:val="006D3140"/>
    <w:rsid w:val="006F3B20"/>
    <w:rsid w:val="007014A0"/>
    <w:rsid w:val="00704A88"/>
    <w:rsid w:val="007305EA"/>
    <w:rsid w:val="007518A3"/>
    <w:rsid w:val="00771656"/>
    <w:rsid w:val="007803A9"/>
    <w:rsid w:val="00786A58"/>
    <w:rsid w:val="00807B7B"/>
    <w:rsid w:val="008667DD"/>
    <w:rsid w:val="008B1A0A"/>
    <w:rsid w:val="008F38ED"/>
    <w:rsid w:val="00965EDC"/>
    <w:rsid w:val="009A4502"/>
    <w:rsid w:val="009D728A"/>
    <w:rsid w:val="009E6B7F"/>
    <w:rsid w:val="00A158CD"/>
    <w:rsid w:val="00A23A7C"/>
    <w:rsid w:val="00A610AD"/>
    <w:rsid w:val="00A74FF8"/>
    <w:rsid w:val="00AB150E"/>
    <w:rsid w:val="00AB26A2"/>
    <w:rsid w:val="00AB6F33"/>
    <w:rsid w:val="00AF513B"/>
    <w:rsid w:val="00AF794B"/>
    <w:rsid w:val="00B90BFC"/>
    <w:rsid w:val="00BB5E3C"/>
    <w:rsid w:val="00C05978"/>
    <w:rsid w:val="00C94324"/>
    <w:rsid w:val="00CB0CCA"/>
    <w:rsid w:val="00D03BE9"/>
    <w:rsid w:val="00D80BD3"/>
    <w:rsid w:val="00DA6DC8"/>
    <w:rsid w:val="00DB4024"/>
    <w:rsid w:val="00E11531"/>
    <w:rsid w:val="00E30F12"/>
    <w:rsid w:val="00E47399"/>
    <w:rsid w:val="00E56459"/>
    <w:rsid w:val="00E811AF"/>
    <w:rsid w:val="00EE385F"/>
    <w:rsid w:val="00EE5EB9"/>
    <w:rsid w:val="00EF3967"/>
    <w:rsid w:val="00F27925"/>
    <w:rsid w:val="00F626C9"/>
    <w:rsid w:val="00F75AE6"/>
    <w:rsid w:val="00F8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3C3FA"/>
  <w15:docId w15:val="{05323DC0-623D-4F60-8044-8BEAC490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440"/>
      </w:tabs>
    </w:pPr>
    <w:rPr>
      <w:color w:val="000000"/>
      <w:sz w:val="24"/>
    </w:rPr>
  </w:style>
  <w:style w:type="paragraph" w:styleId="Heading1">
    <w:name w:val="heading 1"/>
    <w:basedOn w:val="Normal"/>
    <w:next w:val="Normal"/>
    <w:link w:val="Heading1Char"/>
    <w:qFormat/>
    <w:rsid w:val="002B0A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numPr>
        <w:ilvl w:val="1"/>
        <w:numId w:val="15"/>
      </w:numPr>
      <w:spacing w:after="240"/>
      <w:outlineLvl w:val="1"/>
    </w:pPr>
    <w:rPr>
      <w:b/>
    </w:rPr>
  </w:style>
  <w:style w:type="paragraph" w:styleId="Heading3">
    <w:name w:val="heading 3"/>
    <w:basedOn w:val="Normal"/>
    <w:next w:val="Normal"/>
    <w:qFormat/>
    <w:pPr>
      <w:numPr>
        <w:ilvl w:val="2"/>
        <w:numId w:val="15"/>
      </w:numPr>
      <w:spacing w:after="240" w:line="240" w:lineRule="atLeast"/>
      <w:outlineLvl w:val="2"/>
    </w:pPr>
  </w:style>
  <w:style w:type="paragraph" w:styleId="Heading4">
    <w:name w:val="heading 4"/>
    <w:basedOn w:val="Normal"/>
    <w:next w:val="Normal"/>
    <w:qFormat/>
    <w:pPr>
      <w:keepNext/>
      <w:numPr>
        <w:ilvl w:val="3"/>
        <w:numId w:val="14"/>
      </w:numPr>
      <w:spacing w:after="240" w:line="240" w:lineRule="atLeast"/>
      <w:outlineLvl w:val="3"/>
    </w:pPr>
  </w:style>
  <w:style w:type="paragraph" w:styleId="Heading5">
    <w:name w:val="heading 5"/>
    <w:basedOn w:val="Normal"/>
    <w:qFormat/>
    <w:pPr>
      <w:numPr>
        <w:ilvl w:val="4"/>
        <w:numId w:val="15"/>
      </w:numPr>
      <w:spacing w:after="240" w:line="240" w:lineRule="atLeas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1440"/>
        <w:tab w:val="center" w:pos="4320"/>
        <w:tab w:val="right" w:pos="8640"/>
      </w:tabs>
    </w:pPr>
  </w:style>
  <w:style w:type="character" w:styleId="PageNumber">
    <w:name w:val="page number"/>
    <w:basedOn w:val="DefaultParagraphFont"/>
  </w:style>
  <w:style w:type="paragraph" w:styleId="Header">
    <w:name w:val="header"/>
    <w:basedOn w:val="Normal"/>
    <w:pPr>
      <w:tabs>
        <w:tab w:val="clear" w:pos="1440"/>
        <w:tab w:val="center" w:pos="4320"/>
        <w:tab w:val="right" w:pos="8640"/>
      </w:tabs>
    </w:pPr>
  </w:style>
  <w:style w:type="paragraph" w:customStyle="1" w:styleId="GPDocNum">
    <w:name w:val="GPDocNum"/>
    <w:basedOn w:val="Normal"/>
    <w:next w:val="Normal"/>
    <w:rsid w:val="00A158CD"/>
    <w:pPr>
      <w:tabs>
        <w:tab w:val="clear" w:pos="1440"/>
      </w:tabs>
    </w:pPr>
    <w:rPr>
      <w:sz w:val="16"/>
    </w:rPr>
  </w:style>
  <w:style w:type="paragraph" w:customStyle="1" w:styleId="DocID">
    <w:name w:val="DocID"/>
    <w:basedOn w:val="Footer"/>
    <w:rsid w:val="003A5F95"/>
    <w:rPr>
      <w:color w:val="auto"/>
      <w:sz w:val="16"/>
      <w:szCs w:val="24"/>
    </w:rPr>
  </w:style>
  <w:style w:type="character" w:customStyle="1" w:styleId="Heading1Char">
    <w:name w:val="Heading 1 Char"/>
    <w:basedOn w:val="DefaultParagraphFont"/>
    <w:link w:val="Heading1"/>
    <w:rsid w:val="002B0A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C1C86C32517549BF24F01E6D424273" ma:contentTypeVersion="5" ma:contentTypeDescription="Create a new document." ma:contentTypeScope="" ma:versionID="781120e5436774c6b04458a97bab1eec">
  <xsd:schema xmlns:xsd="http://www.w3.org/2001/XMLSchema" xmlns:xs="http://www.w3.org/2001/XMLSchema" xmlns:p="http://schemas.microsoft.com/office/2006/metadata/properties" xmlns:ns3="5a10df3b-fd23-41db-bc04-2cf38c24c309" xmlns:ns4="5bddfed5-9fb4-4bbc-ba8b-144d67dc766a" targetNamespace="http://schemas.microsoft.com/office/2006/metadata/properties" ma:root="true" ma:fieldsID="d06cfdcd6f6bf6b709cc4280a9d11f4d" ns3:_="" ns4:_="">
    <xsd:import namespace="5a10df3b-fd23-41db-bc04-2cf38c24c309"/>
    <xsd:import namespace="5bddfed5-9fb4-4bbc-ba8b-144d67dc76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0df3b-fd23-41db-bc04-2cf38c24c3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dfed5-9fb4-4bbc-ba8b-144d67dc76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652FDF-52E9-41CC-9AC7-6E0BD1BF0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0df3b-fd23-41db-bc04-2cf38c24c309"/>
    <ds:schemaRef ds:uri="5bddfed5-9fb4-4bbc-ba8b-144d67dc7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2088F-3330-4B17-9437-CEBCA9100C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14541C-44FD-4EDB-9A7C-3947D74F0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Milless</dc:creator>
  <cp:lastModifiedBy>Sean Simpson</cp:lastModifiedBy>
  <cp:revision>2</cp:revision>
  <cp:lastPrinted>2011-05-26T18:50:00Z</cp:lastPrinted>
  <dcterms:created xsi:type="dcterms:W3CDTF">2022-03-30T15:52:00Z</dcterms:created>
  <dcterms:modified xsi:type="dcterms:W3CDTF">2022-03-30T15:52:00Z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9170946v1</vt:lpwstr>
  </property>
  <property fmtid="{D5CDD505-2E9C-101B-9397-08002B2CF9AE}" pid="3" name="ContentTypeId">
    <vt:lpwstr>0x010100D7C1C86C32517549BF24F01E6D424273</vt:lpwstr>
  </property>
</Properties>
</file>